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B4A8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D653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Start w:id="1" w:name="_GoBack"/>
            <w:bookmarkEnd w:id="0"/>
            <w:bookmarkEnd w:id="1"/>
          </w:p>
          <w:p w:rsidR="00EA4725" w:rsidRPr="00441372" w:rsidRDefault="008B4A8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2" w:name="sps1b"/>
            <w:bookmarkEnd w:id="2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 (Thai FDA)</w:t>
            </w:r>
            <w:bookmarkStart w:id="3" w:name="sps2a"/>
            <w:bookmarkEnd w:id="3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Enzymes for food processing or food enzymes</w:t>
            </w:r>
            <w:bookmarkStart w:id="4" w:name="sps3a"/>
            <w:bookmarkEnd w:id="4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B4A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B4A8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proofErr w:type="spellStart"/>
            <w:r>
              <w:t>MOPH</w:t>
            </w:r>
            <w:proofErr w:type="spellEnd"/>
            <w:r>
              <w:t xml:space="preserve"> Notification, B.E..., entitled "Enzymes for Food Processing"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Thai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35</w:t>
            </w:r>
            <w:bookmarkEnd w:id="11"/>
          </w:p>
          <w:p w:rsidR="00EA4725" w:rsidRPr="00441372" w:rsidRDefault="00610A5C" w:rsidP="00441372">
            <w:pPr>
              <w:spacing w:after="120"/>
            </w:pPr>
            <w:hyperlink r:id="rId7" w:tgtFrame="_blank" w:history="1">
              <w:r w:rsidR="008B4A86">
                <w:rPr>
                  <w:color w:val="0000FF"/>
                  <w:u w:val="single"/>
                </w:rPr>
                <w:t>https://members.wto.org/crnattachments/2018/SPS/THA/18_5683_00_x.pdf</w:t>
              </w:r>
            </w:hyperlink>
            <w:bookmarkStart w:id="12" w:name="sps5d"/>
            <w:bookmarkEnd w:id="12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287D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06287D" w:rsidRPr="00640AD6">
              <w:t>E</w:t>
            </w:r>
            <w:r w:rsidRPr="00640AD6">
              <w:t xml:space="preserve">nzymes for food processing are </w:t>
            </w:r>
            <w:r w:rsidR="0006287D" w:rsidRPr="00640AD6">
              <w:t>now</w:t>
            </w:r>
            <w:r w:rsidR="0006287D">
              <w:t xml:space="preserve"> </w:t>
            </w:r>
            <w:r>
              <w:t xml:space="preserve">covered by the </w:t>
            </w:r>
            <w:proofErr w:type="spellStart"/>
            <w:r>
              <w:t>MOPH</w:t>
            </w:r>
            <w:proofErr w:type="spellEnd"/>
            <w:r>
              <w:t xml:space="preserve"> Notification No. 281 B.E. 2547 (2004) Re: Food Additives. Enzymes, other than those approved by Codex General Standard for Food </w:t>
            </w:r>
            <w:r w:rsidRPr="00640AD6">
              <w:t xml:space="preserve">Additives, </w:t>
            </w:r>
            <w:r w:rsidR="0006287D" w:rsidRPr="00640AD6">
              <w:t xml:space="preserve">are </w:t>
            </w:r>
            <w:r w:rsidRPr="00640AD6">
              <w:t xml:space="preserve">required </w:t>
            </w:r>
            <w:r w:rsidR="0006287D" w:rsidRPr="00640AD6">
              <w:t xml:space="preserve">to have </w:t>
            </w:r>
            <w:r w:rsidRPr="00640AD6">
              <w:t>safety</w:t>
            </w:r>
            <w:r>
              <w:t xml:space="preserve"> evaluations </w:t>
            </w:r>
            <w:r w:rsidRPr="00640AD6">
              <w:t xml:space="preserve">before </w:t>
            </w:r>
            <w:r w:rsidR="0006287D" w:rsidRPr="00640AD6">
              <w:t xml:space="preserve">they are </w:t>
            </w:r>
            <w:r w:rsidRPr="00640AD6">
              <w:t xml:space="preserve">allowed </w:t>
            </w:r>
            <w:r w:rsidR="0006287D" w:rsidRPr="00640AD6">
              <w:t>for</w:t>
            </w:r>
            <w:r w:rsidR="0006287D">
              <w:t xml:space="preserve"> </w:t>
            </w:r>
            <w:r>
              <w:t xml:space="preserve">use in food production. Due to differences between information requirements of </w:t>
            </w:r>
            <w:r w:rsidRPr="00640AD6">
              <w:t>enzyme</w:t>
            </w:r>
            <w:r w:rsidR="0006287D" w:rsidRPr="00640AD6">
              <w:t>s</w:t>
            </w:r>
            <w:r w:rsidRPr="00640AD6">
              <w:t xml:space="preserve"> and</w:t>
            </w:r>
            <w:r>
              <w:t xml:space="preserve"> other chemical food additives, </w:t>
            </w:r>
            <w:r w:rsidR="009102A4">
              <w:t>t</w:t>
            </w:r>
            <w:r>
              <w:t>he Ministry of Public Health (</w:t>
            </w:r>
            <w:proofErr w:type="spellStart"/>
            <w:r>
              <w:t>MOPH</w:t>
            </w:r>
            <w:proofErr w:type="spellEnd"/>
            <w:r>
              <w:t>) is proposing the notification on En</w:t>
            </w:r>
            <w:r w:rsidR="0006287D">
              <w:t>zymes for Food Processing.</w:t>
            </w:r>
          </w:p>
          <w:p w:rsidR="00EA4725" w:rsidRPr="00441372" w:rsidRDefault="009102A4" w:rsidP="00441372">
            <w:pPr>
              <w:spacing w:before="120" w:after="120"/>
            </w:pPr>
            <w:r>
              <w:t>This</w:t>
            </w:r>
            <w:r w:rsidR="0006287D">
              <w:t xml:space="preserve"> </w:t>
            </w:r>
            <w:r w:rsidR="008B4A86">
              <w:t xml:space="preserve">notification sets the rules for industrial enzymes intended to be used in food processing both as food additives and processing aids. However, the scope of this notification </w:t>
            </w:r>
            <w:r w:rsidR="008B4A86" w:rsidRPr="00640AD6">
              <w:t>excludes</w:t>
            </w:r>
            <w:r w:rsidR="0006287D" w:rsidRPr="00640AD6">
              <w:t>:</w:t>
            </w:r>
            <w:r w:rsidR="008B4A86" w:rsidRPr="00640AD6">
              <w:t xml:space="preserve"> enzymes for nutritional purposes</w:t>
            </w:r>
            <w:r w:rsidR="0006287D" w:rsidRPr="00640AD6">
              <w:t>;</w:t>
            </w:r>
            <w:r w:rsidR="008B4A86" w:rsidRPr="00640AD6">
              <w:t xml:space="preserve"> enzymes produced by traditional microbial cultures during fermentation</w:t>
            </w:r>
            <w:r w:rsidR="0006287D" w:rsidRPr="00640AD6">
              <w:t>;</w:t>
            </w:r>
            <w:r w:rsidR="008B4A86" w:rsidRPr="00640AD6">
              <w:t xml:space="preserve"> and</w:t>
            </w:r>
            <w:r w:rsidR="008B4A86">
              <w:t xml:space="preserve"> enzymes used exclusively in the production of food additives or processing aids.</w:t>
            </w:r>
          </w:p>
          <w:p w:rsidR="00ED653C" w:rsidRDefault="008B4A86">
            <w:pPr>
              <w:spacing w:after="120"/>
            </w:pPr>
            <w:r>
              <w:t>Enzymes for food processing should be qualified as follows:</w:t>
            </w:r>
          </w:p>
          <w:p w:rsidR="009102A4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>
              <w:t>Enzyme activity is over 85 percent of informed enzyme activity. No genetic engineering microbes in 1 g (for enzymes derived from genetic engineering microbes). Quality and safety are unde</w:t>
            </w:r>
            <w:r w:rsidR="009102A4">
              <w:t>r the following conditions:</w:t>
            </w:r>
          </w:p>
          <w:p w:rsidR="00ED653C" w:rsidRPr="00C745AB" w:rsidRDefault="008B4A86" w:rsidP="00666F47">
            <w:pPr>
              <w:tabs>
                <w:tab w:val="left" w:pos="861"/>
              </w:tabs>
              <w:spacing w:after="120"/>
              <w:ind w:left="350"/>
            </w:pPr>
            <w:r>
              <w:t>3.1</w:t>
            </w:r>
            <w:r w:rsidR="00666F47">
              <w:tab/>
            </w:r>
            <w:r w:rsidR="0006287D" w:rsidRPr="00C745AB">
              <w:t>Compliance</w:t>
            </w:r>
            <w:r w:rsidRPr="00C745AB">
              <w:t xml:space="preserve"> with Codex Advisory Specification for the Identity and Purity of Food Additive</w:t>
            </w:r>
          </w:p>
          <w:p w:rsidR="00ED653C" w:rsidRDefault="008B4A86" w:rsidP="00666F47">
            <w:pPr>
              <w:tabs>
                <w:tab w:val="left" w:pos="861"/>
              </w:tabs>
              <w:spacing w:after="120"/>
              <w:ind w:left="350"/>
            </w:pPr>
            <w:r w:rsidRPr="00C745AB">
              <w:t>3.2</w:t>
            </w:r>
            <w:r w:rsidR="00666F47">
              <w:tab/>
            </w:r>
            <w:r w:rsidR="0006287D" w:rsidRPr="00C745AB">
              <w:t xml:space="preserve">Compliance </w:t>
            </w:r>
            <w:r w:rsidRPr="00C745AB">
              <w:t>with General specification and considerations for enzyme preparations used in food processing</w:t>
            </w:r>
            <w:r>
              <w:t xml:space="preserve"> as follows:</w:t>
            </w:r>
          </w:p>
          <w:p w:rsidR="00ED653C" w:rsidRDefault="008B4A86" w:rsidP="00666F47">
            <w:pPr>
              <w:pStyle w:val="Paragraphedeliste"/>
              <w:numPr>
                <w:ilvl w:val="0"/>
                <w:numId w:val="17"/>
              </w:numPr>
              <w:spacing w:after="120"/>
              <w:ind w:left="1287" w:hanging="426"/>
            </w:pPr>
            <w:r w:rsidRPr="009102A4">
              <w:rPr>
                <w:i/>
                <w:iCs/>
              </w:rPr>
              <w:t>Salmonella spp.</w:t>
            </w:r>
            <w:r>
              <w:t>: Absent in 25g sample</w:t>
            </w:r>
          </w:p>
          <w:p w:rsidR="00ED653C" w:rsidRDefault="008B4A86" w:rsidP="00666F47">
            <w:pPr>
              <w:pStyle w:val="Paragraphedeliste"/>
              <w:numPr>
                <w:ilvl w:val="0"/>
                <w:numId w:val="17"/>
              </w:numPr>
              <w:spacing w:after="120"/>
              <w:ind w:left="1287" w:hanging="426"/>
            </w:pPr>
            <w:r>
              <w:t>Total coliforms: Not more than 30MPN/g</w:t>
            </w:r>
          </w:p>
          <w:p w:rsidR="00ED653C" w:rsidRDefault="008B4A86" w:rsidP="00666F47">
            <w:pPr>
              <w:pStyle w:val="Paragraphedeliste"/>
              <w:numPr>
                <w:ilvl w:val="0"/>
                <w:numId w:val="17"/>
              </w:numPr>
              <w:spacing w:after="120"/>
              <w:ind w:left="1287" w:hanging="426"/>
            </w:pPr>
            <w:r w:rsidRPr="009102A4">
              <w:rPr>
                <w:i/>
                <w:iCs/>
              </w:rPr>
              <w:t>Escherichia coli</w:t>
            </w:r>
            <w:r>
              <w:t>: Absent in 25g sample </w:t>
            </w:r>
          </w:p>
          <w:p w:rsidR="00ED653C" w:rsidRDefault="008B4A86" w:rsidP="00666F47">
            <w:pPr>
              <w:pStyle w:val="Paragraphedeliste"/>
              <w:numPr>
                <w:ilvl w:val="0"/>
                <w:numId w:val="17"/>
              </w:numPr>
              <w:spacing w:after="120"/>
              <w:ind w:left="1287" w:hanging="426"/>
            </w:pPr>
            <w:r>
              <w:t>Lead: not more than 5mg/kg</w:t>
            </w:r>
          </w:p>
          <w:p w:rsidR="00ED653C" w:rsidRDefault="008B4A86" w:rsidP="00666F47">
            <w:pPr>
              <w:pStyle w:val="Paragraphedeliste"/>
              <w:numPr>
                <w:ilvl w:val="0"/>
                <w:numId w:val="17"/>
              </w:numPr>
              <w:spacing w:after="120"/>
              <w:ind w:left="1287" w:hanging="426"/>
              <w:contextualSpacing w:val="0"/>
            </w:pPr>
            <w:r>
              <w:t>Antibiotic Activity: Absent in preparations from microbial sources.</w:t>
            </w:r>
          </w:p>
          <w:p w:rsidR="00ED653C" w:rsidRDefault="008B4A86" w:rsidP="00666F47">
            <w:pPr>
              <w:tabs>
                <w:tab w:val="left" w:pos="861"/>
              </w:tabs>
              <w:spacing w:after="120"/>
              <w:ind w:left="350"/>
            </w:pPr>
            <w:r>
              <w:t>3.3</w:t>
            </w:r>
            <w:r w:rsidR="00666F47">
              <w:tab/>
            </w:r>
            <w:r w:rsidR="0006287D" w:rsidRPr="00C745AB">
              <w:t>Compliance</w:t>
            </w:r>
            <w:r w:rsidR="0006287D">
              <w:t xml:space="preserve"> </w:t>
            </w:r>
            <w:r>
              <w:t>with Food and Drug Administration (Thailand)'s notifications.</w:t>
            </w:r>
          </w:p>
          <w:p w:rsidR="00ED653C" w:rsidRDefault="008B4A86" w:rsidP="006B3EAC">
            <w:pPr>
              <w:spacing w:before="240"/>
            </w:pPr>
            <w:r>
              <w:lastRenderedPageBreak/>
              <w:t>The draft notification contains:</w:t>
            </w:r>
          </w:p>
          <w:p w:rsidR="00ED653C" w:rsidRPr="00F8090A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 w:rsidRPr="00F8090A">
              <w:t>List of enzymes for food processing shown in Annex I</w:t>
            </w:r>
            <w:r w:rsidR="00DD3EF7" w:rsidRPr="00F8090A">
              <w:t xml:space="preserve">. Food enzymes that are not listed in Annex I or not evaluated by </w:t>
            </w:r>
            <w:proofErr w:type="spellStart"/>
            <w:r w:rsidR="00DD3EF7" w:rsidRPr="00F8090A">
              <w:t>JECFA</w:t>
            </w:r>
            <w:proofErr w:type="spellEnd"/>
            <w:r w:rsidR="00DD3EF7" w:rsidRPr="00F8090A">
              <w:t xml:space="preserve"> </w:t>
            </w:r>
            <w:proofErr w:type="gramStart"/>
            <w:r w:rsidR="00DD3EF7" w:rsidRPr="00F8090A">
              <w:t>have to</w:t>
            </w:r>
            <w:proofErr w:type="gramEnd"/>
            <w:r w:rsidR="00DD3EF7" w:rsidRPr="00F8090A">
              <w:t xml:space="preserve"> undergo a comprehensive scientific safety assessment by the risk assessors in Thailand;</w:t>
            </w:r>
          </w:p>
          <w:p w:rsidR="00ED653C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>
              <w:t>Information required to approve the usage of new food enzymes provided</w:t>
            </w:r>
            <w:r w:rsidR="009102A4">
              <w:t xml:space="preserve"> in Annex </w:t>
            </w:r>
            <w:r>
              <w:t>II</w:t>
            </w:r>
            <w:r w:rsidR="008418B5">
              <w:t>;</w:t>
            </w:r>
            <w:r>
              <w:t xml:space="preserve"> </w:t>
            </w:r>
          </w:p>
          <w:p w:rsidR="00ED653C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 w:rsidRPr="00F8090A">
              <w:t>Application requirement to demonstrate technologica</w:t>
            </w:r>
            <w:r w:rsidR="00FE3746" w:rsidRPr="00F8090A">
              <w:t>l needs and efficiency in Annex </w:t>
            </w:r>
            <w:r w:rsidRPr="00F8090A">
              <w:t xml:space="preserve">III for the usage of food enzyme that do not fall under the scope of its functional use </w:t>
            </w:r>
            <w:r w:rsidR="00DD3EF7" w:rsidRPr="00F8090A">
              <w:t xml:space="preserve">as </w:t>
            </w:r>
            <w:r w:rsidRPr="00F8090A">
              <w:t>set out in Annex I;</w:t>
            </w:r>
          </w:p>
          <w:p w:rsidR="00ED653C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 w:rsidRPr="00F8090A">
              <w:t xml:space="preserve">List of food additives approved for </w:t>
            </w:r>
            <w:r w:rsidR="00DD3EF7" w:rsidRPr="00F8090A">
              <w:t>use</w:t>
            </w:r>
            <w:r w:rsidRPr="00F8090A">
              <w:t xml:space="preserve"> in food enzymes and their conditions listed in Annex IV</w:t>
            </w:r>
            <w:r>
              <w:t>;</w:t>
            </w:r>
          </w:p>
          <w:p w:rsidR="00ED653C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 w:rsidRPr="00F8090A">
              <w:t xml:space="preserve">Enzymes for food processing analytical method is provided in Annex V which </w:t>
            </w:r>
            <w:r w:rsidR="00DD3EF7" w:rsidRPr="00F8090A">
              <w:t xml:space="preserve">complies </w:t>
            </w:r>
            <w:r w:rsidRPr="00F8090A">
              <w:t>with "Combine compendium of food additive specifications: Analytical methods, test procedures and laboratory solutions used by and referenced in the food additive specifications"</w:t>
            </w:r>
            <w:r>
              <w:t>;</w:t>
            </w:r>
          </w:p>
          <w:p w:rsidR="00ED653C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>
              <w:t xml:space="preserve">Labelling requirement for food enzyme stated in the </w:t>
            </w:r>
            <w:proofErr w:type="spellStart"/>
            <w:r>
              <w:t>MOPH</w:t>
            </w:r>
            <w:proofErr w:type="spellEnd"/>
            <w:r>
              <w:t xml:space="preserve"> Notification Re: Food Additives. All food products using enzymes as food additives and processing aids which are not included in the list before the enforcement of this notification </w:t>
            </w:r>
            <w:proofErr w:type="gramStart"/>
            <w:r>
              <w:t>have to</w:t>
            </w:r>
            <w:proofErr w:type="gramEnd"/>
            <w:r>
              <w:t xml:space="preserve"> provide information for safety assessment and technological needs within two years from the date of entry into force of this notification;</w:t>
            </w:r>
          </w:p>
          <w:p w:rsidR="00ED653C" w:rsidRDefault="008B4A86" w:rsidP="0006287D">
            <w:pPr>
              <w:pStyle w:val="Paragraphedeliste"/>
              <w:numPr>
                <w:ilvl w:val="0"/>
                <w:numId w:val="21"/>
              </w:numPr>
              <w:spacing w:after="120"/>
              <w:ind w:left="350"/>
            </w:pPr>
            <w:r>
              <w:t>This notification shall come into force on the date after being notified in the Royal Gazette.</w:t>
            </w:r>
            <w:bookmarkStart w:id="13" w:name="sps6a"/>
            <w:bookmarkEnd w:id="13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B4A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CAC/RCP 53-2003</w:t>
            </w:r>
            <w:bookmarkEnd w:id="21"/>
          </w:p>
          <w:p w:rsidR="00EA4725" w:rsidRPr="00441372" w:rsidRDefault="008B4A8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B4A8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B4A8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d"/>
            <w:bookmarkEnd w:id="26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8B4A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B4A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B4A8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02A4" w:rsidRDefault="008B4A86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8B4A86" w:rsidP="009102A4">
            <w:pPr>
              <w:pStyle w:val="Paragraphedeliste"/>
              <w:numPr>
                <w:ilvl w:val="0"/>
                <w:numId w:val="19"/>
              </w:numPr>
              <w:spacing w:before="120"/>
              <w:ind w:left="364"/>
            </w:pPr>
            <w:r>
              <w:t>General Specifications and Considerations for Enzyme Preparations used in food processing (Joint FAO/WHO Expert Committee on Food Additives)</w:t>
            </w:r>
          </w:p>
          <w:p w:rsidR="00ED653C" w:rsidRDefault="008B4A86" w:rsidP="009102A4">
            <w:pPr>
              <w:pStyle w:val="Paragraphedeliste"/>
              <w:numPr>
                <w:ilvl w:val="0"/>
                <w:numId w:val="19"/>
              </w:numPr>
              <w:ind w:left="364"/>
            </w:pPr>
            <w:r>
              <w:t xml:space="preserve">Principles and Methods for the Risk Assessment of Chemicals in Food (EHC240); Chapter 9 Principles related to specific groups of substances (FAO/WHO) </w:t>
            </w:r>
          </w:p>
          <w:p w:rsidR="00ED653C" w:rsidRDefault="008B4A86" w:rsidP="009102A4">
            <w:pPr>
              <w:pStyle w:val="Paragraphedeliste"/>
              <w:numPr>
                <w:ilvl w:val="0"/>
                <w:numId w:val="19"/>
              </w:numPr>
              <w:ind w:left="364"/>
            </w:pPr>
            <w:r>
              <w:t xml:space="preserve">Guideline for the Conduct of Food Safety Assessment of Foods Produced Using Recombinant-DNA Microorganisms (Codex Alimentarius Commission) </w:t>
            </w:r>
          </w:p>
          <w:p w:rsidR="00ED653C" w:rsidRDefault="008B4A86" w:rsidP="009102A4">
            <w:pPr>
              <w:pStyle w:val="Paragraphedeliste"/>
              <w:numPr>
                <w:ilvl w:val="0"/>
                <w:numId w:val="19"/>
              </w:numPr>
              <w:spacing w:after="120"/>
              <w:ind w:left="364"/>
            </w:pPr>
            <w:r>
              <w:t>Combined compendium of Food Additive specifications vol. 4: Analytical methods, test procedures and laboratory solutions used by and referenced in the food additive specifications (Joint FAO/WHO Expert Committee on Food Additives 2006)</w:t>
            </w:r>
            <w:bookmarkStart w:id="30" w:name="sps9a"/>
            <w:bookmarkEnd w:id="30"/>
            <w:r w:rsidRPr="009102A4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8B4A8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666F4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9102A4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Royal Gazette.</w:t>
            </w:r>
            <w:bookmarkStart w:id="35" w:name="sps11a"/>
            <w:bookmarkEnd w:id="35"/>
          </w:p>
          <w:p w:rsidR="00EA4725" w:rsidRPr="00441372" w:rsidRDefault="008B4A86" w:rsidP="009102A4">
            <w:pPr>
              <w:keepNext/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4A8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</w:t>
            </w:r>
            <w:r w:rsidR="001952DF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1952DF">
              <w:t xml:space="preserve"> </w:t>
            </w:r>
            <w:bookmarkStart w:id="38" w:name="sps12a"/>
            <w:bookmarkEnd w:id="38"/>
            <w:r w:rsidR="001952DF" w:rsidRPr="001952DF">
              <w:t>30 December 2018</w:t>
            </w:r>
          </w:p>
          <w:p w:rsidR="00EA4725" w:rsidRPr="009102A4" w:rsidRDefault="008B4A8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D653C" w:rsidRDefault="008B4A86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ED653C" w:rsidRDefault="008B4A86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  <w:r>
              <w:t>,</w:t>
            </w:r>
          </w:p>
          <w:p w:rsidR="00ED653C" w:rsidRDefault="008B4A86">
            <w:proofErr w:type="spellStart"/>
            <w:r>
              <w:t>Chatuchak</w:t>
            </w:r>
            <w:proofErr w:type="spellEnd"/>
            <w:r>
              <w:t>, Bangkok 10900,</w:t>
            </w:r>
          </w:p>
          <w:p w:rsidR="00ED653C" w:rsidRDefault="008B4A86">
            <w:r>
              <w:t>Thailand</w:t>
            </w:r>
          </w:p>
          <w:p w:rsidR="00ED653C" w:rsidRDefault="008B4A86">
            <w:r>
              <w:t>Tel: +(662) 561 4024</w:t>
            </w:r>
          </w:p>
          <w:p w:rsidR="00ED653C" w:rsidRDefault="008B4A86">
            <w:r>
              <w:t>Fax: +(662) 561 4034</w:t>
            </w:r>
          </w:p>
          <w:p w:rsidR="00ED653C" w:rsidRDefault="008B4A86">
            <w:r>
              <w:t>E-mail: spsthailand@gmail.com</w:t>
            </w:r>
          </w:p>
          <w:p w:rsidR="00ED653C" w:rsidRDefault="008B4A86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1" w:name="sps12d"/>
            <w:bookmarkEnd w:id="41"/>
          </w:p>
        </w:tc>
      </w:tr>
      <w:tr w:rsidR="00ED653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B4A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B4A8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D653C" w:rsidRDefault="008B4A86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ED653C" w:rsidRDefault="008B4A86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  <w:r>
              <w:t>,</w:t>
            </w:r>
          </w:p>
          <w:p w:rsidR="00ED653C" w:rsidRDefault="008B4A86">
            <w:proofErr w:type="spellStart"/>
            <w:r>
              <w:t>Chatuchak</w:t>
            </w:r>
            <w:proofErr w:type="spellEnd"/>
            <w:r>
              <w:t>, Bangkok 10900,</w:t>
            </w:r>
          </w:p>
          <w:p w:rsidR="00ED653C" w:rsidRDefault="008B4A86">
            <w:r>
              <w:t>Thailand</w:t>
            </w:r>
          </w:p>
          <w:p w:rsidR="00ED653C" w:rsidRDefault="008B4A86">
            <w:r>
              <w:t>Tel: +(662) 561 4024</w:t>
            </w:r>
          </w:p>
          <w:p w:rsidR="00ED653C" w:rsidRDefault="008B4A86">
            <w:r>
              <w:t>Fax: +(662) 561 4034</w:t>
            </w:r>
          </w:p>
          <w:p w:rsidR="00ED653C" w:rsidRDefault="008B4A86">
            <w:r>
              <w:t>E-mail: spsthailand@gmail.com</w:t>
            </w:r>
          </w:p>
          <w:p w:rsidR="00ED653C" w:rsidRDefault="008B4A8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4" w:name="sps13c"/>
            <w:bookmarkEnd w:id="44"/>
          </w:p>
        </w:tc>
      </w:tr>
    </w:tbl>
    <w:p w:rsidR="007141CF" w:rsidRPr="00441372" w:rsidRDefault="00610A5C" w:rsidP="00441372"/>
    <w:sectPr w:rsidR="007141CF" w:rsidRPr="00441372" w:rsidSect="008B4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2F" w:rsidRDefault="008B4A86">
      <w:r>
        <w:separator/>
      </w:r>
    </w:p>
  </w:endnote>
  <w:endnote w:type="continuationSeparator" w:id="0">
    <w:p w:rsidR="00687A2F" w:rsidRDefault="008B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B4A86" w:rsidRDefault="008B4A86" w:rsidP="008B4A8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B4A86" w:rsidRDefault="008B4A86" w:rsidP="008B4A8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B4A8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2F" w:rsidRDefault="008B4A86">
      <w:r>
        <w:separator/>
      </w:r>
    </w:p>
  </w:footnote>
  <w:footnote w:type="continuationSeparator" w:id="0">
    <w:p w:rsidR="00687A2F" w:rsidRDefault="008B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86" w:rsidRPr="008B4A86" w:rsidRDefault="008B4A86" w:rsidP="008B4A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86">
      <w:t>G/SPS/N/</w:t>
    </w:r>
    <w:proofErr w:type="spellStart"/>
    <w:r w:rsidRPr="008B4A86">
      <w:t>THA</w:t>
    </w:r>
    <w:proofErr w:type="spellEnd"/>
    <w:r w:rsidRPr="008B4A86">
      <w:t>/254</w:t>
    </w:r>
  </w:p>
  <w:p w:rsidR="008B4A86" w:rsidRPr="008B4A86" w:rsidRDefault="008B4A86" w:rsidP="008B4A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B4A86" w:rsidRPr="008B4A86" w:rsidRDefault="008B4A86" w:rsidP="008B4A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86">
      <w:t xml:space="preserve">- </w:t>
    </w:r>
    <w:r w:rsidRPr="008B4A86">
      <w:fldChar w:fldCharType="begin"/>
    </w:r>
    <w:r w:rsidRPr="008B4A86">
      <w:instrText xml:space="preserve"> PAGE </w:instrText>
    </w:r>
    <w:r w:rsidRPr="008B4A86">
      <w:fldChar w:fldCharType="separate"/>
    </w:r>
    <w:r w:rsidR="00610A5C">
      <w:rPr>
        <w:noProof/>
      </w:rPr>
      <w:t>2</w:t>
    </w:r>
    <w:r w:rsidRPr="008B4A86">
      <w:fldChar w:fldCharType="end"/>
    </w:r>
    <w:r w:rsidRPr="008B4A86">
      <w:t xml:space="preserve"> -</w:t>
    </w:r>
  </w:p>
  <w:p w:rsidR="00EA4725" w:rsidRPr="008B4A86" w:rsidRDefault="00610A5C" w:rsidP="008B4A8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86" w:rsidRPr="008B4A86" w:rsidRDefault="008B4A86" w:rsidP="008B4A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86">
      <w:t>G/SPS/N/</w:t>
    </w:r>
    <w:proofErr w:type="spellStart"/>
    <w:r w:rsidRPr="008B4A86">
      <w:t>THA</w:t>
    </w:r>
    <w:proofErr w:type="spellEnd"/>
    <w:r w:rsidRPr="008B4A86">
      <w:t>/254</w:t>
    </w:r>
  </w:p>
  <w:p w:rsidR="008B4A86" w:rsidRPr="008B4A86" w:rsidRDefault="008B4A86" w:rsidP="008B4A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B4A86" w:rsidRPr="008B4A86" w:rsidRDefault="008B4A86" w:rsidP="008B4A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4A86">
      <w:t xml:space="preserve">- </w:t>
    </w:r>
    <w:r w:rsidRPr="008B4A86">
      <w:fldChar w:fldCharType="begin"/>
    </w:r>
    <w:r w:rsidRPr="008B4A86">
      <w:instrText xml:space="preserve"> PAGE </w:instrText>
    </w:r>
    <w:r w:rsidRPr="008B4A86">
      <w:fldChar w:fldCharType="separate"/>
    </w:r>
    <w:r w:rsidR="00610A5C">
      <w:rPr>
        <w:noProof/>
      </w:rPr>
      <w:t>3</w:t>
    </w:r>
    <w:r w:rsidRPr="008B4A86">
      <w:fldChar w:fldCharType="end"/>
    </w:r>
    <w:r w:rsidRPr="008B4A86">
      <w:t xml:space="preserve"> -</w:t>
    </w:r>
  </w:p>
  <w:p w:rsidR="00EA4725" w:rsidRPr="008B4A86" w:rsidRDefault="00610A5C" w:rsidP="008B4A8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653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0A5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4A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D653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B4A8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0A5C" w:rsidP="00422B6F">
          <w:pPr>
            <w:jc w:val="right"/>
            <w:rPr>
              <w:b/>
              <w:szCs w:val="16"/>
            </w:rPr>
          </w:pPr>
        </w:p>
      </w:tc>
    </w:tr>
    <w:tr w:rsidR="00ED653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0A5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B4A86" w:rsidRDefault="008B4A8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/254</w:t>
          </w:r>
        </w:p>
        <w:bookmarkEnd w:id="46"/>
        <w:p w:rsidR="00656ABC" w:rsidRPr="00EA4725" w:rsidRDefault="00610A5C" w:rsidP="00656ABC">
          <w:pPr>
            <w:jc w:val="right"/>
            <w:rPr>
              <w:b/>
              <w:szCs w:val="16"/>
            </w:rPr>
          </w:pPr>
        </w:p>
      </w:tc>
    </w:tr>
    <w:tr w:rsidR="00ED653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0A5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0A5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12 November 2018</w:t>
          </w:r>
        </w:p>
      </w:tc>
    </w:tr>
    <w:tr w:rsidR="00ED653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B4A8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10A5C">
            <w:rPr>
              <w:color w:val="FF0000"/>
              <w:szCs w:val="16"/>
            </w:rPr>
            <w:t>18-7071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B4A8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0A5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0A5C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D653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B4A8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B4A8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10A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C22D8"/>
    <w:multiLevelType w:val="hybridMultilevel"/>
    <w:tmpl w:val="CBE82E3E"/>
    <w:lvl w:ilvl="0" w:tplc="DB886DC0">
      <w:numFmt w:val="bullet"/>
      <w:lvlText w:val="-"/>
      <w:lvlJc w:val="left"/>
      <w:pPr>
        <w:ind w:left="93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0E0C0871"/>
    <w:multiLevelType w:val="hybridMultilevel"/>
    <w:tmpl w:val="F7E4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05DCB"/>
    <w:multiLevelType w:val="hybridMultilevel"/>
    <w:tmpl w:val="124C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46E31"/>
    <w:multiLevelType w:val="hybridMultilevel"/>
    <w:tmpl w:val="4B94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284E85"/>
    <w:multiLevelType w:val="hybridMultilevel"/>
    <w:tmpl w:val="126A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26BA"/>
    <w:multiLevelType w:val="hybridMultilevel"/>
    <w:tmpl w:val="5CB60482"/>
    <w:lvl w:ilvl="0" w:tplc="3EA820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DE1662" w:tentative="1">
      <w:start w:val="1"/>
      <w:numFmt w:val="lowerLetter"/>
      <w:lvlText w:val="%2."/>
      <w:lvlJc w:val="left"/>
      <w:pPr>
        <w:ind w:left="1080" w:hanging="360"/>
      </w:pPr>
    </w:lvl>
    <w:lvl w:ilvl="2" w:tplc="FEE07798" w:tentative="1">
      <w:start w:val="1"/>
      <w:numFmt w:val="lowerRoman"/>
      <w:lvlText w:val="%3."/>
      <w:lvlJc w:val="right"/>
      <w:pPr>
        <w:ind w:left="1800" w:hanging="180"/>
      </w:pPr>
    </w:lvl>
    <w:lvl w:ilvl="3" w:tplc="78AE189E" w:tentative="1">
      <w:start w:val="1"/>
      <w:numFmt w:val="decimal"/>
      <w:lvlText w:val="%4."/>
      <w:lvlJc w:val="left"/>
      <w:pPr>
        <w:ind w:left="2520" w:hanging="360"/>
      </w:pPr>
    </w:lvl>
    <w:lvl w:ilvl="4" w:tplc="DE2E40B2" w:tentative="1">
      <w:start w:val="1"/>
      <w:numFmt w:val="lowerLetter"/>
      <w:lvlText w:val="%5."/>
      <w:lvlJc w:val="left"/>
      <w:pPr>
        <w:ind w:left="3240" w:hanging="360"/>
      </w:pPr>
    </w:lvl>
    <w:lvl w:ilvl="5" w:tplc="3ED85722" w:tentative="1">
      <w:start w:val="1"/>
      <w:numFmt w:val="lowerRoman"/>
      <w:lvlText w:val="%6."/>
      <w:lvlJc w:val="right"/>
      <w:pPr>
        <w:ind w:left="3960" w:hanging="180"/>
      </w:pPr>
    </w:lvl>
    <w:lvl w:ilvl="6" w:tplc="119870D4" w:tentative="1">
      <w:start w:val="1"/>
      <w:numFmt w:val="decimal"/>
      <w:lvlText w:val="%7."/>
      <w:lvlJc w:val="left"/>
      <w:pPr>
        <w:ind w:left="4680" w:hanging="360"/>
      </w:pPr>
    </w:lvl>
    <w:lvl w:ilvl="7" w:tplc="007CEE68" w:tentative="1">
      <w:start w:val="1"/>
      <w:numFmt w:val="lowerLetter"/>
      <w:lvlText w:val="%8."/>
      <w:lvlJc w:val="left"/>
      <w:pPr>
        <w:ind w:left="5400" w:hanging="360"/>
      </w:pPr>
    </w:lvl>
    <w:lvl w:ilvl="8" w:tplc="D13EE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60F4A"/>
    <w:multiLevelType w:val="hybridMultilevel"/>
    <w:tmpl w:val="8EF4A6C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C797A"/>
    <w:multiLevelType w:val="hybridMultilevel"/>
    <w:tmpl w:val="0D20C6B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0"/>
  </w:num>
  <w:num w:numId="19">
    <w:abstractNumId w:val="17"/>
  </w:num>
  <w:num w:numId="20">
    <w:abstractNumId w:val="12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3C"/>
    <w:rsid w:val="0006287D"/>
    <w:rsid w:val="001952DF"/>
    <w:rsid w:val="002F2691"/>
    <w:rsid w:val="003E2F4A"/>
    <w:rsid w:val="004150DF"/>
    <w:rsid w:val="005231E9"/>
    <w:rsid w:val="00610A5C"/>
    <w:rsid w:val="00640AD6"/>
    <w:rsid w:val="00666F47"/>
    <w:rsid w:val="00687A2F"/>
    <w:rsid w:val="006B3EAC"/>
    <w:rsid w:val="006C56EE"/>
    <w:rsid w:val="00786A72"/>
    <w:rsid w:val="008418B5"/>
    <w:rsid w:val="008626EC"/>
    <w:rsid w:val="00877C9B"/>
    <w:rsid w:val="008B4A86"/>
    <w:rsid w:val="009102A4"/>
    <w:rsid w:val="009621B3"/>
    <w:rsid w:val="009D32CD"/>
    <w:rsid w:val="00A3397D"/>
    <w:rsid w:val="00C16C42"/>
    <w:rsid w:val="00C745AB"/>
    <w:rsid w:val="00D0126F"/>
    <w:rsid w:val="00D51DCB"/>
    <w:rsid w:val="00DD3EF7"/>
    <w:rsid w:val="00E91E77"/>
    <w:rsid w:val="00ED653C"/>
    <w:rsid w:val="00EF6BB7"/>
    <w:rsid w:val="00F8090A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5BF900"/>
  <w15:docId w15:val="{7B15C949-8C2A-4A09-8139-E4DB62A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HA/18_5683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56</cp:revision>
  <dcterms:created xsi:type="dcterms:W3CDTF">2018-10-30T10:41:00Z</dcterms:created>
  <dcterms:modified xsi:type="dcterms:W3CDTF">2018-11-12T07:26:00Z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G/SPS/N/THA/254</vt:lpwstr>
  </property>
</Properties>
</file>